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BD7DCF">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E86971">
          <w:rPr>
            <w:noProof/>
            <w:webHidden/>
          </w:rPr>
          <w:t>6</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E86971">
          <w:rPr>
            <w:noProof/>
            <w:webHidden/>
          </w:rPr>
          <w:t>15</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E86971">
          <w:rPr>
            <w:noProof/>
            <w:webHidden/>
          </w:rPr>
          <w:t>21</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E86971">
          <w:rPr>
            <w:noProof/>
            <w:webHidden/>
          </w:rPr>
          <w:t>24</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E86971">
          <w:rPr>
            <w:noProof/>
            <w:webHidden/>
          </w:rPr>
          <w:t>27</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E86971">
          <w:rPr>
            <w:noProof/>
            <w:webHidden/>
          </w:rPr>
          <w:t>28</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E86971">
          <w:rPr>
            <w:noProof/>
            <w:webHidden/>
          </w:rPr>
          <w:t>30</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E86971">
          <w:rPr>
            <w:noProof/>
            <w:webHidden/>
          </w:rPr>
          <w:t>33</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E86971">
          <w:rPr>
            <w:noProof/>
            <w:webHidden/>
          </w:rPr>
          <w:t>41</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E86971">
          <w:rPr>
            <w:noProof/>
            <w:webHidden/>
          </w:rPr>
          <w:t>44</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E86971">
          <w:rPr>
            <w:noProof/>
            <w:webHidden/>
          </w:rPr>
          <w:t>50</w:t>
        </w:r>
        <w:r>
          <w:rPr>
            <w:noProof/>
            <w:webHidden/>
          </w:rPr>
          <w:fldChar w:fldCharType="end"/>
        </w:r>
      </w:hyperlink>
    </w:p>
    <w:p w:rsidR="001344BF" w:rsidRDefault="00BD7DCF">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BD7DCF">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E86971">
          <w:rPr>
            <w:noProof/>
            <w:webHidden/>
          </w:rPr>
          <w:t>54</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E86971">
          <w:rPr>
            <w:noProof/>
            <w:webHidden/>
          </w:rPr>
          <w:t>62</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E86971">
          <w:rPr>
            <w:noProof/>
            <w:webHidden/>
          </w:rPr>
          <w:t>63</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E86971">
          <w:rPr>
            <w:noProof/>
            <w:webHidden/>
          </w:rPr>
          <w:t>66</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E86971">
          <w:rPr>
            <w:noProof/>
            <w:webHidden/>
          </w:rPr>
          <w:t>68</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E86971">
          <w:rPr>
            <w:noProof/>
            <w:webHidden/>
          </w:rPr>
          <w:t>70</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E86971">
          <w:rPr>
            <w:noProof/>
            <w:webHidden/>
          </w:rPr>
          <w:t>72</w:t>
        </w:r>
        <w:r>
          <w:rPr>
            <w:noProof/>
            <w:webHidden/>
          </w:rPr>
          <w:fldChar w:fldCharType="end"/>
        </w:r>
      </w:hyperlink>
    </w:p>
    <w:p w:rsidR="001344BF" w:rsidRDefault="00BD7DCF">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E86971">
          <w:rPr>
            <w:noProof/>
            <w:webHidden/>
          </w:rPr>
          <w:t>82</w:t>
        </w:r>
        <w:r>
          <w:rPr>
            <w:noProof/>
            <w:webHidden/>
          </w:rPr>
          <w:fldChar w:fldCharType="end"/>
        </w:r>
      </w:hyperlink>
    </w:p>
    <w:p w:rsidR="006E430F" w:rsidRPr="002978ED" w:rsidRDefault="00BD7DCF"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анее 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езультатах ГИА – 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bookmarkEnd w:id="22"/>
      <w:bookmarkEnd w:id="23"/>
    </w:p>
    <w:p w:rsidR="00044167" w:rsidRPr="002978ED" w:rsidRDefault="00DE590D">
      <w:pPr>
        <w:ind w:firstLine="709"/>
        <w:jc w:val="both"/>
        <w:rPr>
          <w:sz w:val="26"/>
          <w:szCs w:val="26"/>
        </w:rPr>
      </w:pPr>
      <w:r w:rsidRPr="00A02D6E">
        <w:rPr>
          <w:b/>
          <w:sz w:val="26"/>
          <w:szCs w:val="26"/>
        </w:rPr>
        <w:t>2.3.1.</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A053A6" w:rsidRPr="002978ED">
        <w:rPr>
          <w:sz w:val="26"/>
          <w:szCs w:val="26"/>
        </w:rPr>
        <w:t>и с</w:t>
      </w:r>
      <w:r w:rsidR="00FE4A4B" w:rsidRPr="002978ED">
        <w:rPr>
          <w:sz w:val="26"/>
          <w:szCs w:val="26"/>
        </w:rPr>
        <w:t>пециализированного ПО</w:t>
      </w:r>
      <w:r w:rsidR="002F5024">
        <w:rPr>
          <w:sz w:val="26"/>
          <w:szCs w:val="26"/>
        </w:rPr>
        <w:t>.</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42D88">
        <w:rPr>
          <w:sz w:val="26"/>
          <w:szCs w:val="26"/>
        </w:rPr>
        <w:t>с данным</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в К</w:t>
      </w:r>
      <w:r w:rsidRPr="002978ED">
        <w:rPr>
          <w:sz w:val="26"/>
          <w:szCs w:val="26"/>
        </w:rPr>
        <w:t>ИМ, запрещено.</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p>
    <w:p w:rsidR="00832E2D" w:rsidRPr="00832E2D" w:rsidRDefault="00832E2D" w:rsidP="00832E2D">
      <w:pPr>
        <w:jc w:val="both"/>
        <w:rPr>
          <w:sz w:val="26"/>
        </w:rPr>
      </w:pPr>
      <w:r>
        <w:tab/>
      </w:r>
      <w:r w:rsidRPr="00832E2D">
        <w:rPr>
          <w:sz w:val="26"/>
        </w:rPr>
        <w:t>На всех этапах</w:t>
      </w:r>
      <w:r>
        <w:rPr>
          <w:sz w:val="26"/>
        </w:rPr>
        <w:t xml:space="preserve"> работы сКИМ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6276CA">
        <w:rPr>
          <w:sz w:val="26"/>
          <w:szCs w:val="26"/>
        </w:rPr>
        <w:t>ГИА</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044167" w:rsidRPr="002978ED" w:rsidRDefault="006276CA">
      <w:pPr>
        <w:ind w:firstLine="709"/>
        <w:jc w:val="both"/>
        <w:rPr>
          <w:sz w:val="26"/>
          <w:szCs w:val="26"/>
        </w:rPr>
      </w:pPr>
      <w:r w:rsidRPr="00A02D6E">
        <w:rPr>
          <w:b/>
          <w:sz w:val="26"/>
          <w:szCs w:val="26"/>
        </w:rPr>
        <w:t>2.5.2.</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 xml:space="preserve">1марта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463DE5">
        <w:rPr>
          <w:sz w:val="26"/>
          <w:szCs w:val="26"/>
        </w:rPr>
        <w:t>определяет</w:t>
      </w:r>
      <w:r w:rsidR="006276CA">
        <w:rPr>
          <w:sz w:val="26"/>
          <w:szCs w:val="26"/>
        </w:rPr>
        <w:t xml:space="preserve"> уполномоченную организацию с предоставлением</w:t>
      </w:r>
      <w:r w:rsidR="006276CA" w:rsidRPr="002978ED">
        <w:rPr>
          <w:sz w:val="26"/>
          <w:szCs w:val="26"/>
        </w:rPr>
        <w:t>прав</w:t>
      </w:r>
      <w:r w:rsidR="006276CA">
        <w:rPr>
          <w:sz w:val="26"/>
          <w:szCs w:val="26"/>
        </w:rPr>
        <w:t>а</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2"/>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3"/>
      </w:r>
      <w:r w:rsidRPr="002978ED">
        <w:rPr>
          <w:bCs/>
          <w:sz w:val="26"/>
          <w:szCs w:val="26"/>
        </w:rPr>
        <w:t>,</w:t>
      </w:r>
      <w:r w:rsidRPr="002978ED">
        <w:rPr>
          <w:rStyle w:val="afd"/>
          <w:bCs/>
          <w:sz w:val="26"/>
          <w:szCs w:val="26"/>
        </w:rPr>
        <w:footnoteReference w:id="4"/>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бразовательную организацию до 1 марта (включительно) текущего года.</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Pr="002978ED">
        <w:rPr>
          <w:sz w:val="26"/>
          <w:szCs w:val="26"/>
        </w:rPr>
        <w:t xml:space="preserve">и </w:t>
      </w:r>
      <w:r w:rsidR="001344BF">
        <w:rPr>
          <w:sz w:val="26"/>
          <w:szCs w:val="26"/>
        </w:rPr>
        <w:t>5</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Порядок организации питания и перерывов для проведения необходимых медико-технических процедур для</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работающий с данным контингентом обучающихся, но не ведущий учебный предмет экзамена.</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 xml:space="preserve">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 xml:space="preserve">ерерывы для проведения необходимых </w:t>
      </w:r>
      <w:r w:rsidRPr="002978ED">
        <w:rPr>
          <w:rFonts w:ascii="Times New Roman" w:hAnsi="Times New Roman" w:cs="Times New Roman"/>
          <w:sz w:val="26"/>
          <w:szCs w:val="26"/>
        </w:rPr>
        <w:lastRenderedPageBreak/>
        <w:t>лечебных</w:t>
      </w:r>
      <w:r w:rsidR="00A053A6" w:rsidRPr="002978ED">
        <w:rPr>
          <w:rFonts w:ascii="Times New Roman" w:hAnsi="Times New Roman" w:cs="Times New Roman"/>
          <w:sz w:val="26"/>
          <w:szCs w:val="26"/>
        </w:rPr>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рганизатор проверяет комплектность оставленных</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5"/>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 xml:space="preserve">Также организатор предупреждает участника о том, что при выполнении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006F56CA" w:rsidRPr="002978ED">
        <w:rPr>
          <w:sz w:val="26"/>
          <w:szCs w:val="26"/>
        </w:rPr>
        <w:t>ГИА</w:t>
      </w:r>
      <w:r w:rsidR="006F56CA" w:rsidRPr="002978ED">
        <w:rPr>
          <w:rStyle w:val="afd"/>
          <w:szCs w:val="26"/>
        </w:rPr>
        <w:footnoteReference w:id="6"/>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материаламисоблюдаетсярежим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711EED" w:rsidRPr="002978ED">
        <w:rPr>
          <w:sz w:val="26"/>
          <w:szCs w:val="26"/>
        </w:rPr>
        <w:t>не  более чем по двум</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,либо ранее проверявшими экзаменационную работу обучающегося, подавшего апелляцию.</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FE4A4B" w:rsidRPr="002978ED">
        <w:t xml:space="preserve">Заполнение </w:t>
      </w:r>
      <w:r w:rsidR="00A221A2" w:rsidRPr="002978ED">
        <w:t>Б</w:t>
      </w:r>
      <w:r w:rsidR="00FE4A4B" w:rsidRPr="002978ED">
        <w:t>ланка ответов №2</w:t>
      </w:r>
      <w:bookmarkEnd w:id="86"/>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 xml:space="preserve">ормативныеправовые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8"/>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9"/>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10"/>
      </w:r>
      <w:bookmarkEnd w:id="100"/>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1"/>
      </w:r>
      <w:bookmarkEnd w:id="105"/>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на К</w:t>
      </w:r>
      <w:r w:rsidRPr="002978ED">
        <w:rPr>
          <w:sz w:val="26"/>
          <w:szCs w:val="26"/>
        </w:rPr>
        <w:t>ИМ</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2"/>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w:t>
      </w:r>
      <w:r w:rsidR="00C63922" w:rsidRPr="002978ED">
        <w:rPr>
          <w:sz w:val="26"/>
          <w:szCs w:val="26"/>
        </w:rPr>
        <w:lastRenderedPageBreak/>
        <w:t xml:space="preserve">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досрочно 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с 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3"/>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по э</w:t>
      </w:r>
      <w:r w:rsidRPr="002978ED">
        <w:rPr>
          <w:sz w:val="26"/>
          <w:szCs w:val="26"/>
        </w:rPr>
        <w:t>тому учебному предмету.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097B46" w:rsidRPr="002978ED">
        <w:rPr>
          <w:sz w:val="26"/>
          <w:szCs w:val="26"/>
        </w:rPr>
        <w:t xml:space="preserve">до входа в ППЭ в специальновыделенном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Д.И. </w:t>
            </w:r>
            <w:r w:rsidR="00FE4A4B" w:rsidRPr="002978ED">
              <w:rPr>
                <w:sz w:val="26"/>
                <w:szCs w:val="26"/>
              </w:rPr>
              <w:lastRenderedPageBreak/>
              <w:t>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 xml:space="preserve">рехзаданий: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t xml:space="preserve">части подразумевают практическую </w:t>
            </w:r>
            <w:r w:rsidRPr="002978ED">
              <w:rPr>
                <w:rFonts w:eastAsia="Calibri"/>
                <w:sz w:val="26"/>
              </w:rPr>
              <w:lastRenderedPageBreak/>
              <w:t>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На компьютере должны быть установлены знакомые обучающимся программы.</w:t>
            </w:r>
            <w:r w:rsidRPr="002978ED">
              <w:rPr>
                <w:rFonts w:eastAsia="Calibri"/>
                <w:sz w:val="26"/>
              </w:rPr>
              <w:t xml:space="preserve">Результатом исполнения каждого задания является </w:t>
            </w:r>
            <w:r w:rsidRPr="002978ED">
              <w:rPr>
                <w:rFonts w:eastAsia="Calibri"/>
                <w:sz w:val="26"/>
              </w:rPr>
              <w:lastRenderedPageBreak/>
              <w:t>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5"/>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BD7DCF" w:rsidP="00291881">
      <w:pPr>
        <w:pBdr>
          <w:bottom w:val="single" w:sz="12" w:space="1" w:color="auto"/>
        </w:pBdr>
        <w:overflowPunct w:val="0"/>
        <w:autoSpaceDE w:val="0"/>
        <w:autoSpaceDN w:val="0"/>
        <w:adjustRightInd w:val="0"/>
        <w:spacing w:before="240" w:after="120"/>
        <w:jc w:val="both"/>
        <w:textAlignment w:val="baseline"/>
      </w:pPr>
      <w:r w:rsidRPr="00BD7DCF">
        <w:rPr>
          <w:noProof/>
          <w:sz w:val="28"/>
          <w:szCs w:val="20"/>
        </w:rPr>
        <w:pict>
          <v:rect id="Прямоугольник 6" o:spid="_x0000_s1051"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BD7DCF"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BD7DCF">
        <w:rPr>
          <w:noProof/>
          <w:sz w:val="28"/>
          <w:szCs w:val="20"/>
        </w:rPr>
        <w:pict>
          <v:rect id="Прямоугольник 7" o:spid="_x0000_s1052"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291881" w:rsidRPr="002978ED" w:rsidRDefault="00BD7DCF" w:rsidP="00291881">
      <w:pPr>
        <w:overflowPunct w:val="0"/>
        <w:autoSpaceDE w:val="0"/>
        <w:autoSpaceDN w:val="0"/>
        <w:adjustRightInd w:val="0"/>
        <w:spacing w:before="240" w:after="120"/>
        <w:textAlignment w:val="baseline"/>
        <w:rPr>
          <w:szCs w:val="26"/>
        </w:rPr>
      </w:pPr>
      <w:r w:rsidRPr="00BD7DCF">
        <w:rPr>
          <w:noProof/>
          <w:sz w:val="28"/>
          <w:szCs w:val="20"/>
        </w:rPr>
        <w:pict>
          <v:rect id="Прямоугольник 8" o:spid="_x0000_s1053"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BD7DCF" w:rsidP="00291881">
      <w:pPr>
        <w:overflowPunct w:val="0"/>
        <w:autoSpaceDE w:val="0"/>
        <w:autoSpaceDN w:val="0"/>
        <w:adjustRightInd w:val="0"/>
        <w:spacing w:before="240" w:after="120"/>
        <w:jc w:val="both"/>
        <w:textAlignment w:val="baseline"/>
        <w:rPr>
          <w:szCs w:val="26"/>
        </w:rPr>
      </w:pPr>
      <w:r w:rsidRPr="00BD7DCF">
        <w:rPr>
          <w:noProof/>
          <w:sz w:val="28"/>
          <w:szCs w:val="20"/>
        </w:rPr>
        <w:pict>
          <v:rect id="Прямоугольник 9" o:spid="_x0000_s1054"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на 1,5 часа</w:t>
      </w:r>
    </w:p>
    <w:p w:rsidR="00291881" w:rsidRPr="002978ED" w:rsidRDefault="00BD7DCF" w:rsidP="00291881">
      <w:pPr>
        <w:overflowPunct w:val="0"/>
        <w:autoSpaceDE w:val="0"/>
        <w:autoSpaceDN w:val="0"/>
        <w:adjustRightInd w:val="0"/>
        <w:spacing w:before="240" w:after="120"/>
        <w:jc w:val="both"/>
        <w:textAlignment w:val="baseline"/>
        <w:rPr>
          <w:sz w:val="26"/>
          <w:szCs w:val="26"/>
        </w:rPr>
      </w:pPr>
      <w:r w:rsidRPr="00BD7DCF">
        <w:rPr>
          <w:noProof/>
          <w:sz w:val="28"/>
          <w:szCs w:val="20"/>
        </w:rPr>
        <w:pict>
          <v:rect id="Прямоугольник 11" o:spid="_x0000_s1055"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BD7DCF">
        <w:rPr>
          <w:noProof/>
          <w:sz w:val="28"/>
          <w:szCs w:val="20"/>
        </w:rPr>
        <w:pict>
          <v:rect id="Прямоугольник 17" o:spid="_x0000_s1056"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BD7DCF">
        <w:rPr>
          <w:noProof/>
          <w:sz w:val="28"/>
          <w:szCs w:val="20"/>
        </w:rPr>
        <w:pict>
          <v:line id="Прямая соединительная линия 20" o:spid="_x0000_s1057" style="position:absolute;left:0;text-align:left;z-index:25165312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BD7DCF"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BD7DCF">
        <w:rPr>
          <w:noProof/>
          <w:sz w:val="28"/>
          <w:szCs w:val="20"/>
        </w:rPr>
        <w:pict>
          <v:line id="Прямая соединительная линия 19" o:spid="_x0000_s1058" style="position:absolute;left:0;text-align:left;z-index:251654144;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BD7DCF"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BD7DCF">
        <w:rPr>
          <w:noProof/>
          <w:sz w:val="28"/>
          <w:szCs w:val="20"/>
        </w:rPr>
        <w:pict>
          <v:line id="Прямая соединительная линия 18" o:spid="_x0000_s1059" style="position:absolute;left:0;text-align:left;z-index:251655168;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BD7DCF" w:rsidP="00833947">
      <w:pPr>
        <w:pBdr>
          <w:bottom w:val="single" w:sz="12" w:space="1" w:color="auto"/>
        </w:pBdr>
        <w:overflowPunct w:val="0"/>
        <w:autoSpaceDE w:val="0"/>
        <w:autoSpaceDN w:val="0"/>
        <w:adjustRightInd w:val="0"/>
        <w:spacing w:before="240" w:after="120"/>
        <w:jc w:val="both"/>
        <w:textAlignment w:val="baseline"/>
      </w:pPr>
      <w:r w:rsidRPr="00BD7DCF">
        <w:rPr>
          <w:noProof/>
          <w:sz w:val="28"/>
          <w:szCs w:val="20"/>
        </w:rPr>
        <w:pict>
          <v:rect id="_x0000_s1033"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BD7DCF"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BD7DCF">
        <w:rPr>
          <w:noProof/>
          <w:sz w:val="28"/>
          <w:szCs w:val="20"/>
        </w:rPr>
        <w:pict>
          <v:rect id="_x0000_s1034"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833947" w:rsidRPr="002978ED" w:rsidRDefault="00BD7DCF" w:rsidP="00833947">
      <w:pPr>
        <w:overflowPunct w:val="0"/>
        <w:autoSpaceDE w:val="0"/>
        <w:autoSpaceDN w:val="0"/>
        <w:adjustRightInd w:val="0"/>
        <w:spacing w:before="240" w:after="120"/>
        <w:textAlignment w:val="baseline"/>
        <w:rPr>
          <w:szCs w:val="26"/>
        </w:rPr>
      </w:pPr>
      <w:r w:rsidRPr="00BD7DCF">
        <w:rPr>
          <w:noProof/>
          <w:sz w:val="28"/>
          <w:szCs w:val="20"/>
        </w:rPr>
        <w:pict>
          <v:rect id="_x0000_s1035" style="position:absolute;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BD7DCF" w:rsidP="00833947">
      <w:pPr>
        <w:overflowPunct w:val="0"/>
        <w:autoSpaceDE w:val="0"/>
        <w:autoSpaceDN w:val="0"/>
        <w:adjustRightInd w:val="0"/>
        <w:spacing w:before="240" w:after="120"/>
        <w:jc w:val="both"/>
        <w:textAlignment w:val="baseline"/>
        <w:rPr>
          <w:szCs w:val="26"/>
        </w:rPr>
      </w:pPr>
      <w:r w:rsidRPr="00BD7DCF">
        <w:rPr>
          <w:noProof/>
          <w:sz w:val="28"/>
          <w:szCs w:val="20"/>
        </w:rPr>
        <w:pict>
          <v:rect id="_x0000_s1036"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на 1,5 часа</w:t>
      </w:r>
    </w:p>
    <w:p w:rsidR="00833947" w:rsidRPr="002978ED" w:rsidRDefault="00BD7DCF" w:rsidP="00833947">
      <w:pPr>
        <w:overflowPunct w:val="0"/>
        <w:autoSpaceDE w:val="0"/>
        <w:autoSpaceDN w:val="0"/>
        <w:adjustRightInd w:val="0"/>
        <w:spacing w:before="240" w:after="120"/>
        <w:jc w:val="both"/>
        <w:textAlignment w:val="baseline"/>
        <w:rPr>
          <w:sz w:val="26"/>
          <w:szCs w:val="26"/>
        </w:rPr>
      </w:pPr>
      <w:r w:rsidRPr="00BD7DCF">
        <w:rPr>
          <w:noProof/>
          <w:sz w:val="28"/>
          <w:szCs w:val="20"/>
        </w:rPr>
        <w:pict>
          <v:rect id="_x0000_s1037"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BD7DCF">
        <w:rPr>
          <w:noProof/>
          <w:sz w:val="28"/>
          <w:szCs w:val="20"/>
        </w:rPr>
        <w:pict>
          <v:rect id="_x0000_s1038"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BD7DCF">
        <w:rPr>
          <w:noProof/>
          <w:sz w:val="28"/>
          <w:szCs w:val="20"/>
        </w:rPr>
        <w:pict>
          <v:line id="_x0000_s1039" style="position:absolute;left:0;text-align:left;z-index:25166745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BD7DCF"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BD7DCF">
        <w:rPr>
          <w:noProof/>
          <w:sz w:val="28"/>
          <w:szCs w:val="20"/>
        </w:rPr>
        <w:pict>
          <v:line id="_x0000_s1040" style="position:absolute;left:0;text-align:left;z-index:25166848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BD7DCF"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BD7DCF">
        <w:rPr>
          <w:noProof/>
          <w:sz w:val="28"/>
          <w:szCs w:val="20"/>
        </w:rPr>
        <w:pict>
          <v:line id="_x0000_s1041"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6"/>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даю свое согласие на обработку в</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GoBack"/>
      <w:bookmarkStart w:id="245" w:name="_Toc470715356"/>
      <w:bookmarkEnd w:id="244"/>
      <w:r w:rsidRPr="002978ED">
        <w:rPr>
          <w:rFonts w:eastAsia="Calibri"/>
        </w:rPr>
        <w:lastRenderedPageBreak/>
        <w:t xml:space="preserve">Приложение </w:t>
      </w:r>
      <w:r w:rsidR="005A552D">
        <w:rPr>
          <w:rFonts w:eastAsia="Calibri"/>
        </w:rPr>
        <w:t>7</w:t>
      </w:r>
      <w:r w:rsidR="00C05D87" w:rsidRPr="002978ED">
        <w:rPr>
          <w:rFonts w:eastAsia="Calibri"/>
        </w:rPr>
        <w:t>.</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 xml:space="preserve">однаковизуальные образы </w:t>
      </w:r>
      <w:r w:rsidR="00654842" w:rsidRPr="002978ED">
        <w:rPr>
          <w:sz w:val="26"/>
          <w:szCs w:val="26"/>
        </w:rPr>
        <w:t>в текстах сведены к минимуму</w:t>
      </w:r>
      <w:r w:rsidRPr="002978ED">
        <w:rPr>
          <w:sz w:val="26"/>
          <w:szCs w:val="26"/>
        </w:rPr>
        <w:t>.</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sz w:val="26"/>
          <w:szCs w:val="26"/>
        </w:rPr>
        <w:t xml:space="preserve">глухих обучающихся, обучающихся с задержкой психического развития, с тяжёлыми нарушениями речи – по выборувыпускника: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Pr="002978ED">
        <w:rPr>
          <w:b/>
          <w:i/>
          <w:sz w:val="26"/>
          <w:szCs w:val="26"/>
        </w:rPr>
        <w:t xml:space="preserve">с литерой </w:t>
      </w:r>
      <w:r w:rsidR="001273F4" w:rsidRPr="002978ED">
        <w:rPr>
          <w:b/>
          <w:i/>
          <w:sz w:val="26"/>
          <w:szCs w:val="26"/>
        </w:rPr>
        <w:t xml:space="preserve"> «А»</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Обучающиеся</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Cs/>
          <w:sz w:val="26"/>
          <w:szCs w:val="26"/>
        </w:rPr>
        <w:t>задание</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каждому из четырёхиностранных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AD9" w:rsidRDefault="00344AD9" w:rsidP="000F30D0">
      <w:r>
        <w:separator/>
      </w:r>
    </w:p>
  </w:endnote>
  <w:endnote w:type="continuationSeparator" w:id="1">
    <w:p w:rsidR="00344AD9" w:rsidRDefault="00344AD9"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893282" w:rsidRDefault="00BD7DCF">
        <w:pPr>
          <w:pStyle w:val="af4"/>
          <w:jc w:val="right"/>
        </w:pPr>
        <w:r>
          <w:fldChar w:fldCharType="begin"/>
        </w:r>
        <w:r w:rsidR="00893282">
          <w:instrText>PAGE   \* MERGEFORMAT</w:instrText>
        </w:r>
        <w:r>
          <w:fldChar w:fldCharType="separate"/>
        </w:r>
        <w:r w:rsidR="003E4B77">
          <w:rPr>
            <w:noProof/>
          </w:rPr>
          <w:t>20</w:t>
        </w:r>
        <w:r>
          <w:fldChar w:fldCharType="end"/>
        </w:r>
      </w:p>
    </w:sdtContent>
  </w:sdt>
  <w:p w:rsidR="00893282" w:rsidRDefault="0089328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BD7DCF" w:rsidP="00B82E4D">
    <w:pPr>
      <w:pStyle w:val="af4"/>
      <w:framePr w:wrap="around" w:vAnchor="text" w:hAnchor="margin" w:xAlign="right" w:y="1"/>
      <w:rPr>
        <w:rStyle w:val="aff7"/>
      </w:rPr>
    </w:pPr>
    <w:r>
      <w:rPr>
        <w:rStyle w:val="aff7"/>
      </w:rPr>
      <w:fldChar w:fldCharType="begin"/>
    </w:r>
    <w:r w:rsidR="00893282">
      <w:rPr>
        <w:rStyle w:val="aff7"/>
      </w:rPr>
      <w:instrText xml:space="preserve">PAGE  </w:instrText>
    </w:r>
    <w:r>
      <w:rPr>
        <w:rStyle w:val="aff7"/>
      </w:rPr>
      <w:fldChar w:fldCharType="end"/>
    </w:r>
  </w:p>
  <w:p w:rsidR="00893282" w:rsidRDefault="00893282"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BD7DCF">
    <w:pPr>
      <w:pStyle w:val="af4"/>
      <w:jc w:val="right"/>
    </w:pPr>
    <w:r>
      <w:fldChar w:fldCharType="begin"/>
    </w:r>
    <w:r w:rsidR="00893282">
      <w:instrText xml:space="preserve"> PAGE   \* MERGEFORMAT </w:instrText>
    </w:r>
    <w:r>
      <w:fldChar w:fldCharType="separate"/>
    </w:r>
    <w:r w:rsidR="003E4B77">
      <w:rPr>
        <w:noProof/>
      </w:rPr>
      <w:t>89</w:t>
    </w:r>
    <w:r>
      <w:rPr>
        <w:noProof/>
      </w:rPr>
      <w:fldChar w:fldCharType="end"/>
    </w:r>
  </w:p>
  <w:p w:rsidR="00893282" w:rsidRDefault="008932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AD9" w:rsidRDefault="00344AD9" w:rsidP="000F30D0">
      <w:r>
        <w:separator/>
      </w:r>
    </w:p>
  </w:footnote>
  <w:footnote w:type="continuationSeparator" w:id="1">
    <w:p w:rsidR="00344AD9" w:rsidRDefault="00344AD9" w:rsidP="000F30D0">
      <w:r>
        <w:continuationSeparator/>
      </w:r>
    </w:p>
  </w:footnote>
  <w:footnote w:id="2">
    <w:p w:rsidR="00893282" w:rsidRDefault="00893282" w:rsidP="00B57992">
      <w:pPr>
        <w:pStyle w:val="af0"/>
        <w:jc w:val="both"/>
      </w:pPr>
      <w:r>
        <w:rPr>
          <w:rStyle w:val="afd"/>
        </w:rPr>
        <w:footnoteRef/>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изРИС своего субъекта</w:t>
      </w:r>
    </w:p>
    <w:p w:rsidR="00893282" w:rsidRDefault="00893282">
      <w:pPr>
        <w:pStyle w:val="af0"/>
      </w:pPr>
    </w:p>
  </w:footnote>
  <w:footnote w:id="3">
    <w:p w:rsidR="00893282" w:rsidRDefault="00893282"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893282" w:rsidRDefault="00893282"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893282" w:rsidRDefault="00893282">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893282" w:rsidRDefault="00893282">
      <w:pPr>
        <w:pStyle w:val="af0"/>
      </w:pPr>
      <w:r>
        <w:rPr>
          <w:rStyle w:val="afd"/>
        </w:rPr>
        <w:footnoteRef/>
      </w:r>
      <w:r>
        <w:t xml:space="preserve"> Применимо при проведении ГВЭ в письменной форме</w:t>
      </w:r>
    </w:p>
  </w:footnote>
  <w:footnote w:id="7">
    <w:p w:rsidR="00893282" w:rsidRDefault="00893282" w:rsidP="000F30D0">
      <w:pPr>
        <w:pStyle w:val="af0"/>
      </w:pPr>
      <w:r>
        <w:rPr>
          <w:rStyle w:val="afd"/>
        </w:rPr>
        <w:footnoteRef/>
      </w:r>
      <w:r>
        <w:t>см. Требования к ППЭ</w:t>
      </w:r>
    </w:p>
  </w:footnote>
  <w:footnote w:id="8">
    <w:p w:rsidR="00893282" w:rsidRDefault="00893282" w:rsidP="000F30D0">
      <w:pPr>
        <w:pStyle w:val="af0"/>
      </w:pPr>
      <w:r>
        <w:rPr>
          <w:rStyle w:val="afd"/>
        </w:rPr>
        <w:footnoteRef/>
      </w:r>
      <w:r>
        <w:t>см. Требования к ППЭ</w:t>
      </w:r>
    </w:p>
  </w:footnote>
  <w:footnote w:id="9">
    <w:p w:rsidR="00893282" w:rsidRDefault="00893282"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3282" w:rsidRDefault="00893282" w:rsidP="00871147">
      <w:pPr>
        <w:pStyle w:val="af0"/>
        <w:jc w:val="both"/>
      </w:pPr>
    </w:p>
  </w:footnote>
  <w:footnote w:id="10">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1">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2">
    <w:p w:rsidR="00893282" w:rsidRDefault="00893282"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3">
    <w:p w:rsidR="00893282" w:rsidRDefault="00893282"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pPr>
        <w:pStyle w:val="af0"/>
      </w:pPr>
    </w:p>
  </w:footnote>
  <w:footnote w:id="14">
    <w:p w:rsidR="00893282" w:rsidRDefault="00893282"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893282" w:rsidRDefault="00893282"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893282" w:rsidRDefault="00893282"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893282">
    <w:pPr>
      <w:pStyle w:val="af2"/>
      <w:jc w:val="right"/>
    </w:pPr>
  </w:p>
  <w:p w:rsidR="00893282" w:rsidRDefault="0089328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hdrShapeDefaults>
    <o:shapedefaults v:ext="edit" spidmax="5122"/>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4AD9"/>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B77"/>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A0E35"/>
    <w:rsid w:val="004A619A"/>
    <w:rsid w:val="004A6393"/>
    <w:rsid w:val="004B2503"/>
    <w:rsid w:val="004B5177"/>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DCF"/>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AFB6-0D86-44FB-8394-95F72E05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27369</Words>
  <Characters>156007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183010</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Елена</cp:lastModifiedBy>
  <cp:revision>2</cp:revision>
  <cp:lastPrinted>2016-12-28T16:13:00Z</cp:lastPrinted>
  <dcterms:created xsi:type="dcterms:W3CDTF">2017-12-19T02:24:00Z</dcterms:created>
  <dcterms:modified xsi:type="dcterms:W3CDTF">2017-12-19T02:24:00Z</dcterms:modified>
</cp:coreProperties>
</file>